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Regulatory Mapping Matrix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Generated: 2026-03-19</w:t>
      </w:r>
    </w:p>
    <w:p>
      <w:r>
        <w:t xml:space="preserve">This matrix maps each detected third-party service to applicable regulations. Use this to understand the regulatory landscape for your technology stack and prioritize compliance efforts accordingly.</w:t>
      </w:r>
    </w:p>
    <w:p>
      <w:pPr>
        <w:pStyle w:val="Heading2"/>
      </w:pPr>
      <w:r>
        <w:t>Legend</w:t>
      </w:r>
    </w:p>
    <w:p>
      <w:r>
        <w:rPr>
          <w:sz w:val="20"/>
        </w:rPr>
        <w:t xml:space="preserve">Symbol  |  Meaning</w:t>
      </w:r>
    </w:p>
    <w:p>
      <w:r>
        <w:rPr>
          <w:sz w:val="20"/>
        </w:rPr>
        <w:t xml:space="preserve">**YES**  |  Regulation applies to this service</w:t>
      </w:r>
    </w:p>
    <w:p>
      <w:r>
        <w:rPr>
          <w:sz w:val="20"/>
        </w:rPr>
        <w:t xml:space="preserve">**?**  |  May apply — requires manual assessment</w:t>
      </w:r>
    </w:p>
    <w:p>
      <w:r>
        <w:rPr>
          <w:sz w:val="20"/>
        </w:rPr>
        <w:t xml:space="preserve">**—**  |  Not applicable based on current analysis</w:t>
      </w:r>
    </w:p>
    <w:p>
      <w:pPr>
        <w:pStyle w:val="Heading2"/>
      </w:pPr>
      <w:r>
        <w:t>Service-to-Regulation Matrix</w:t>
      </w:r>
    </w:p>
    <w:p>
      <w:r>
        <w:rPr>
          <w:sz w:val="20"/>
        </w:rPr>
        <w:t xml:space="preserve">Service  |  Category  |  GDPR  |  CCPA  |  EU AI Act  |  PCI DSS  |  HIPAA  |  SOC 2</w:t>
      </w:r>
    </w:p>
    <w:p>
      <w:r>
        <w:rPr>
          <w:sz w:val="20"/>
        </w:rPr>
        <w:t xml:space="preserve">@sentry/node  |  monitoring  |  YES  |  YES  |  —  |  —  |  —  |  YES</w:t>
      </w:r>
    </w:p>
    <w:p>
      <w:r>
        <w:rPr>
          <w:sz w:val="20"/>
        </w:rPr>
        <w:t xml:space="preserve">@supabase/supabase-js  |  auth  |  YES  |  YES  |  —  |  —  |  —  |  YES</w:t>
      </w:r>
    </w:p>
    <w:p>
      <w:r>
        <w:rPr>
          <w:sz w:val="20"/>
        </w:rPr>
        <w:t xml:space="preserve">openai  |  ai  |  YES  |  —  |  YES  |  —  |  —  |  YES</w:t>
      </w:r>
    </w:p>
    <w:p>
      <w:r>
        <w:rPr>
          <w:sz w:val="20"/>
        </w:rPr>
        <w:t xml:space="preserve">posthog  |  analytics  |  YES  |  YES  |  —  |  —  |  —  |  YES</w:t>
      </w:r>
    </w:p>
    <w:p>
      <w:r>
        <w:rPr>
          <w:sz w:val="20"/>
        </w:rPr>
        <w:t xml:space="preserve">prisma  |  database  |  YES  |  —  |  —  |  —  |  ?  |  YES</w:t>
      </w:r>
    </w:p>
    <w:p>
      <w:r>
        <w:rPr>
          <w:sz w:val="20"/>
        </w:rPr>
        <w:t xml:space="preserve">resend  |  email  |  YES  |  YES  |  —  |  —  |  —  |  YES</w:t>
      </w:r>
    </w:p>
    <w:p>
      <w:r>
        <w:rPr>
          <w:sz w:val="20"/>
        </w:rPr>
        <w:t xml:space="preserve">stripe  |  payment  |  YES  |  YES  |  —  |  YES  |  —  |  YES</w:t>
      </w:r>
    </w:p>
    <w:p>
      <w:r>
        <w:rPr>
          <w:sz w:val="20"/>
        </w:rPr>
        <w:t xml:space="preserve">stripe-ios  |  payment  |  YES  |  YES  |  —  |  YES  |  —  |  YES</w:t>
      </w:r>
    </w:p>
    <w:p>
      <w:pPr>
        <w:pStyle w:val="Heading2"/>
      </w:pPr>
      <w:r>
        <w:t>Regulation Coverage Summary</w:t>
      </w:r>
    </w:p>
    <w:p>
      <w:r>
        <w:rPr>
          <w:sz w:val="20"/>
        </w:rPr>
        <w:t xml:space="preserve">Regulation  |  Services Affected  |  Coverage %  |  Priority</w:t>
      </w:r>
    </w:p>
    <w:p>
      <w:r>
        <w:rPr>
          <w:sz w:val="20"/>
        </w:rPr>
        <w:t xml:space="preserve">GDPR  |  8/8  |  100%  |  High</w:t>
      </w:r>
    </w:p>
    <w:p>
      <w:r>
        <w:rPr>
          <w:sz w:val="20"/>
        </w:rPr>
        <w:t xml:space="preserve">CCPA  |  6/8  |  75%  |  High</w:t>
      </w:r>
    </w:p>
    <w:p>
      <w:r>
        <w:rPr>
          <w:sz w:val="20"/>
        </w:rPr>
        <w:t xml:space="preserve">EU AI Act  |  1/8  |  13%  |  Medium</w:t>
      </w:r>
    </w:p>
    <w:p>
      <w:r>
        <w:rPr>
          <w:sz w:val="20"/>
        </w:rPr>
        <w:t xml:space="preserve">PCI DSS  |  2/8  |  25%  |  Medium</w:t>
      </w:r>
    </w:p>
    <w:p>
      <w:r>
        <w:rPr>
          <w:sz w:val="20"/>
        </w:rPr>
        <w:t xml:space="preserve">HIPAA  |  0/8 (+1 pending)  |  0%  |  Low</w:t>
      </w:r>
    </w:p>
    <w:p>
      <w:r>
        <w:rPr>
          <w:sz w:val="20"/>
        </w:rPr>
        <w:t xml:space="preserve">SOC 2  |  8/8  |  100%  |  High</w:t>
      </w:r>
    </w:p>
    <w:p>
      <w:pPr>
        <w:pStyle w:val="Heading2"/>
      </w:pPr>
      <w:r>
        <w:t>Detailed Assessment by Regulation</w:t>
      </w:r>
    </w:p>
    <w:p>
      <w:pPr>
        <w:pStyle w:val="Heading3"/>
      </w:pPr>
      <w:r>
        <w:t>GDPR</w:t>
      </w:r>
    </w:p>
    <w:p>
      <w:r>
        <w:t xml:space="preserve">Applicable services:</w:t>
      </w:r>
    </w:p>
    <w:p>
      <w:r>
        <w:rPr>
          <w:sz w:val="20"/>
        </w:rPr>
        <w:t xml:space="preserve">Service  |  Reason</w:t>
      </w:r>
    </w:p>
    <w:p>
      <w:r>
        <w:rPr>
          <w:sz w:val="20"/>
        </w:rPr>
        <w:t xml:space="preserve">@sentry/node  |  Processes personal data</w:t>
      </w:r>
    </w:p>
    <w:p>
      <w:r>
        <w:rPr>
          <w:sz w:val="20"/>
        </w:rPr>
        <w:t xml:space="preserve">@supabase/supabase-js  |  Processes personal data</w:t>
      </w:r>
    </w:p>
    <w:p>
      <w:r>
        <w:rPr>
          <w:sz w:val="20"/>
        </w:rPr>
        <w:t xml:space="preserve">openai  |  Processes personal data</w:t>
      </w:r>
    </w:p>
    <w:p>
      <w:r>
        <w:rPr>
          <w:sz w:val="20"/>
        </w:rPr>
        <w:t xml:space="preserve">posthog  |  Processes personal data</w:t>
      </w:r>
    </w:p>
    <w:p>
      <w:r>
        <w:rPr>
          <w:sz w:val="20"/>
        </w:rPr>
        <w:t xml:space="preserve">prisma  |  Processes personal data</w:t>
      </w:r>
    </w:p>
    <w:p>
      <w:r>
        <w:rPr>
          <w:sz w:val="20"/>
        </w:rPr>
        <w:t xml:space="preserve">resend  |  Processes personal data</w:t>
      </w:r>
    </w:p>
    <w:p>
      <w:r>
        <w:rPr>
          <w:sz w:val="20"/>
        </w:rPr>
        <w:t xml:space="preserve">stripe  |  Processes personal data</w:t>
      </w:r>
    </w:p>
    <w:p>
      <w:r>
        <w:rPr>
          <w:sz w:val="20"/>
        </w:rPr>
        <w:t xml:space="preserve">stripe-ios  |  Processes personal data</w:t>
      </w:r>
    </w:p>
    <w:p>
      <w:pPr>
        <w:pStyle w:val="Heading3"/>
      </w:pPr>
      <w:r>
        <w:t>CCPA</w:t>
      </w:r>
    </w:p>
    <w:p>
      <w:r>
        <w:t xml:space="preserve">Applicable services:</w:t>
      </w:r>
    </w:p>
    <w:p>
      <w:r>
        <w:rPr>
          <w:sz w:val="20"/>
        </w:rPr>
        <w:t xml:space="preserve">Service  |  Reason</w:t>
      </w:r>
    </w:p>
    <w:p>
      <w:r>
        <w:rPr>
          <w:sz w:val="20"/>
        </w:rPr>
        <w:t xml:space="preserve">@sentry/node  |  Processes California consumer personal information</w:t>
      </w:r>
    </w:p>
    <w:p>
      <w:r>
        <w:rPr>
          <w:sz w:val="20"/>
        </w:rPr>
        <w:t xml:space="preserve">@supabase/supabase-js  |  Collects consumer identity information</w:t>
      </w:r>
    </w:p>
    <w:p>
      <w:r>
        <w:rPr>
          <w:sz w:val="20"/>
        </w:rPr>
        <w:t xml:space="preserve">posthog  |  Collects/shares consumer information for commercial purposes</w:t>
      </w:r>
    </w:p>
    <w:p>
      <w:r>
        <w:rPr>
          <w:sz w:val="20"/>
        </w:rPr>
        <w:t xml:space="preserve">resend  |  Processes consumer contact information</w:t>
      </w:r>
    </w:p>
    <w:p>
      <w:r>
        <w:rPr>
          <w:sz w:val="20"/>
        </w:rPr>
        <w:t xml:space="preserve">stripe  |  Processes California consumer personal information</w:t>
      </w:r>
    </w:p>
    <w:p>
      <w:r>
        <w:rPr>
          <w:sz w:val="20"/>
        </w:rPr>
        <w:t xml:space="preserve">stripe-ios  |  Processes California consumer personal information</w:t>
      </w:r>
    </w:p>
    <w:p>
      <w:pPr>
        <w:pStyle w:val="Heading3"/>
      </w:pPr>
      <w:r>
        <w:t>EU AI Act</w:t>
      </w:r>
    </w:p>
    <w:p>
      <w:r>
        <w:t xml:space="preserve">Applicable services:</w:t>
      </w:r>
    </w:p>
    <w:p>
      <w:r>
        <w:rPr>
          <w:sz w:val="20"/>
        </w:rPr>
        <w:t xml:space="preserve">Service  |  Reason</w:t>
      </w:r>
    </w:p>
    <w:p>
      <w:r>
        <w:rPr>
          <w:sz w:val="20"/>
        </w:rPr>
        <w:t xml:space="preserve">openai  |  AI/ML service — subject to EU AI Act requirements</w:t>
      </w:r>
    </w:p>
    <w:p>
      <w:pPr>
        <w:pStyle w:val="Heading3"/>
      </w:pPr>
      <w:r>
        <w:t>PCI DSS</w:t>
      </w:r>
    </w:p>
    <w:p>
      <w:r>
        <w:t xml:space="preserve">Applicable services:</w:t>
      </w:r>
    </w:p>
    <w:p>
      <w:r>
        <w:rPr>
          <w:sz w:val="20"/>
        </w:rPr>
        <w:t xml:space="preserve">Service  |  Reason</w:t>
      </w:r>
    </w:p>
    <w:p>
      <w:r>
        <w:rPr>
          <w:sz w:val="20"/>
        </w:rPr>
        <w:t xml:space="preserve">stripe  |  Payment processing — PCI DSS applies</w:t>
      </w:r>
    </w:p>
    <w:p>
      <w:r>
        <w:rPr>
          <w:sz w:val="20"/>
        </w:rPr>
        <w:t xml:space="preserve">stripe-ios  |  Payment processing — PCI DSS applies</w:t>
      </w:r>
    </w:p>
    <w:p>
      <w:pPr>
        <w:pStyle w:val="Heading3"/>
      </w:pPr>
      <w:r>
        <w:t>HIPAA</w:t>
      </w:r>
    </w:p>
    <w:p>
      <w:r>
        <w:t xml:space="preserve">Requires manual assessment:</w:t>
      </w:r>
    </w:p>
    <w:p>
      <w:r>
        <w:rPr>
          <w:sz w:val="20"/>
        </w:rPr>
        <w:t xml:space="preserve">Service  |  Reason</w:t>
      </w:r>
    </w:p>
    <w:p>
      <w:r>
        <w:rPr>
          <w:sz w:val="20"/>
        </w:rPr>
        <w:t xml:space="preserve">prisma  |  May apply if storing PHI — requires manual assessment</w:t>
      </w:r>
    </w:p>
    <w:p>
      <w:pPr>
        <w:pStyle w:val="Heading3"/>
      </w:pPr>
      <w:r>
        <w:t>SOC 2</w:t>
      </w:r>
    </w:p>
    <w:p>
      <w:r>
        <w:t xml:space="preserve">Applicable services:</w:t>
      </w:r>
    </w:p>
    <w:p>
      <w:r>
        <w:rPr>
          <w:sz w:val="20"/>
        </w:rPr>
        <w:t xml:space="preserve">Service  |  Reason</w:t>
      </w:r>
    </w:p>
    <w:p>
      <w:r>
        <w:rPr>
          <w:sz w:val="20"/>
        </w:rPr>
        <w:t xml:space="preserve">@sentry/node  |  monitoring service relevant to SOC 2 Trust Service Criteria</w:t>
      </w:r>
    </w:p>
    <w:p>
      <w:r>
        <w:rPr>
          <w:sz w:val="20"/>
        </w:rPr>
        <w:t xml:space="preserve">@supabase/supabase-js  |  auth service relevant to SOC 2 Trust Service Criteria</w:t>
      </w:r>
    </w:p>
    <w:p>
      <w:r>
        <w:rPr>
          <w:sz w:val="20"/>
        </w:rPr>
        <w:t xml:space="preserve">openai  |  AI service — relevant to SOC 2 processing integrity criteria</w:t>
      </w:r>
    </w:p>
    <w:p>
      <w:r>
        <w:rPr>
          <w:sz w:val="20"/>
        </w:rPr>
        <w:t xml:space="preserve">posthog  |  Processes customer data — relevant to SOC 2 privacy criteria</w:t>
      </w:r>
    </w:p>
    <w:p>
      <w:r>
        <w:rPr>
          <w:sz w:val="20"/>
        </w:rPr>
        <w:t xml:space="preserve">prisma  |  database service relevant to SOC 2 Trust Service Criteria</w:t>
      </w:r>
    </w:p>
    <w:p>
      <w:r>
        <w:rPr>
          <w:sz w:val="20"/>
        </w:rPr>
        <w:t xml:space="preserve">resend  |  email service relevant to SOC 2 Trust Service Criteria</w:t>
      </w:r>
    </w:p>
    <w:p>
      <w:r>
        <w:rPr>
          <w:sz w:val="20"/>
        </w:rPr>
        <w:t xml:space="preserve">stripe  |  Payment service — relevant to SOC 2 confidentiality criteria</w:t>
      </w:r>
    </w:p>
    <w:p>
      <w:r>
        <w:rPr>
          <w:sz w:val="20"/>
        </w:rPr>
        <w:t xml:space="preserve">stripe-ios  |  Payment service — relevant to SOC 2 confidentiality criteria</w:t>
      </w:r>
    </w:p>
    <w:p>
      <w:pPr>
        <w:pStyle w:val="Heading2"/>
      </w:pPr>
      <w:r>
        <w:t>Category Heatmap</w:t>
      </w:r>
    </w:p>
    <w:p>
      <w:r>
        <w:t xml:space="preserve">Regulatory exposure by service category:</w:t>
      </w:r>
    </w:p>
    <w:p>
      <w:r>
        <w:rPr>
          <w:sz w:val="20"/>
        </w:rPr>
        <w:t xml:space="preserve">Category  |  # Services  |  GDPR  |  CCPA  |  AI Act  |  PCI  |  HIPAA  |  SOC 2  |  Regulatory Exposure</w:t>
      </w:r>
    </w:p>
    <w:p>
      <w:r>
        <w:rPr>
          <w:sz w:val="20"/>
        </w:rPr>
        <w:t xml:space="preserve">monitoring  |  1  |  1  |  1  |  0  |  0  |  0  |  1  |  50% (Medium)</w:t>
      </w:r>
    </w:p>
    <w:p>
      <w:r>
        <w:rPr>
          <w:sz w:val="20"/>
        </w:rPr>
        <w:t xml:space="preserve">auth  |  1  |  1  |  1  |  0  |  0  |  0  |  1  |  50% (Medium)</w:t>
      </w:r>
    </w:p>
    <w:p>
      <w:r>
        <w:rPr>
          <w:sz w:val="20"/>
        </w:rPr>
        <w:t xml:space="preserve">ai  |  1  |  1  |  0  |  1  |  0  |  0  |  1  |  50% (Medium)</w:t>
      </w:r>
    </w:p>
    <w:p>
      <w:r>
        <w:rPr>
          <w:sz w:val="20"/>
        </w:rPr>
        <w:t xml:space="preserve">analytics  |  1  |  1  |  1  |  0  |  0  |  0  |  1  |  50% (Medium)</w:t>
      </w:r>
    </w:p>
    <w:p>
      <w:r>
        <w:rPr>
          <w:sz w:val="20"/>
        </w:rPr>
        <w:t xml:space="preserve">database  |  1  |  1  |  0  |  0  |  0  |  0  |  1  |  33% (Low)</w:t>
      </w:r>
    </w:p>
    <w:p>
      <w:r>
        <w:rPr>
          <w:sz w:val="20"/>
        </w:rPr>
        <w:t xml:space="preserve">email  |  1  |  1  |  1  |  0  |  0  |  0  |  1  |  50% (Medium)</w:t>
      </w:r>
    </w:p>
    <w:p>
      <w:r>
        <w:rPr>
          <w:sz w:val="20"/>
        </w:rPr>
        <w:t xml:space="preserve">payment  |  2  |  2  |  2  |  0  |  2  |  0  |  2  |  67% (Medium)</w:t>
      </w:r>
    </w:p>
    <w:p>
      <w:pPr>
        <w:pStyle w:val="Heading2"/>
      </w:pPr>
      <w:r>
        <w:t>Recommendations</w:t>
      </w:r>
    </w:p>
    <w:p>
      <w:pPr>
        <w:pStyle w:val="ListParagraph"/>
        <w:numPr>
          <w:ilvl w:val="0"/>
          <w:numId w:val="2"/>
        </w:numPr>
      </w:pPr>
      <w:r>
        <w:t xml:space="preserve">**GDPR:** 8 service(s) process personal data. Ensure DPAs are in place, lawful basis is documented, and DSAR handling procedures are established.</w:t>
      </w:r>
    </w:p>
    <w:p>
      <w:pPr>
        <w:pStyle w:val="ListParagraph"/>
        <w:numPr>
          <w:ilvl w:val="0"/>
          <w:numId w:val="2"/>
        </w:numPr>
      </w:pPr>
      <w:r>
        <w:t xml:space="preserve">**CCPA:** 6 service(s) process consumer information. Ensure "Do Not Sell" mechanisms are implemented and privacy notice is updated.</w:t>
      </w:r>
    </w:p>
    <w:p>
      <w:pPr>
        <w:pStyle w:val="ListParagraph"/>
        <w:numPr>
          <w:ilvl w:val="0"/>
          <w:numId w:val="2"/>
        </w:numPr>
      </w:pPr>
      <w:r>
        <w:t xml:space="preserve">**EU AI Act:** 1 AI service(s) detected. Classify risk level, implement transparency requirements, and document human oversight measures.</w:t>
      </w:r>
    </w:p>
    <w:p>
      <w:pPr>
        <w:pStyle w:val="ListParagraph"/>
        <w:numPr>
          <w:ilvl w:val="0"/>
          <w:numId w:val="2"/>
        </w:numPr>
      </w:pPr>
      <w:r>
        <w:t xml:space="preserve">**PCI DSS:** 2 payment service(s) detected. Verify PCI compliance of payment processors and minimize cardholder data exposure.</w:t>
      </w:r>
    </w:p>
    <w:p>
      <w:pPr>
        <w:pStyle w:val="ListParagraph"/>
        <w:numPr>
          <w:ilvl w:val="0"/>
          <w:numId w:val="2"/>
        </w:numPr>
      </w:pPr>
      <w:r>
        <w:t xml:space="preserve">**SOC 2:** Review Trust Service Criteria (Security, Availability, Processing Integrity, Confidentiality, Privacy) against all applicable services.</w:t>
      </w:r>
    </w:p>
    <w:p>
      <w:pPr>
        <w:pBdr>
          <w:bottom w:val="single" w:sz="6" w:space="1" w:color="999999"/>
        </w:pBdr>
      </w:pPr>
    </w:p>
    <w:p>
      <w:r>
        <w:t xml:space="preserve">This regulatory mapping matrix was generated by [Codepliant](https://github.com/joechensmartz/codepliant) based on an automated scan of the nextjs-saas-example codebase. Applicability assessments are based on service categories and detected data types. Consult legal counsel to confirm regulatory obligations for your specific jurisdiction and use case.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